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A26F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f2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1AC454BE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f2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78F3BD62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f2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39B559EE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34EB04EB" wp14:editId="37287447">
            <wp:extent cx="3909913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332" cy="36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C6B7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59F50B8" w14:textId="66AD7A24" w:rsidR="00FE3A9D" w:rsidRDefault="006F33A0">
      <w:pPr>
        <w:pStyle w:val="af0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BD13EE" w:rsidRPr="00BD13EE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工业机器人多功能实训工作站采购项目</w:t>
      </w:r>
      <w:r w:rsidR="0017794D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14:paraId="0BE86E9A" w14:textId="5EE9466B" w:rsidR="00FE3A9D" w:rsidRDefault="006F33A0">
      <w:pPr>
        <w:pStyle w:val="af0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2240F1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1</w:t>
      </w:r>
      <w:r w:rsidR="00BD13EE">
        <w:rPr>
          <w:rStyle w:val="af2"/>
          <w:color w:val="333333"/>
          <w:sz w:val="28"/>
          <w:szCs w:val="28"/>
          <w:u w:val="single"/>
          <w:shd w:val="clear" w:color="auto" w:fill="FFFFFF"/>
        </w:rPr>
        <w:t>9</w:t>
      </w:r>
      <w:r>
        <w:rPr>
          <w:rStyle w:val="af2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f2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6EE7AF8F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946E1D5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F527CF9" w14:textId="3904C564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rStyle w:val="af2"/>
          <w:color w:val="333333"/>
          <w:sz w:val="52"/>
          <w:szCs w:val="52"/>
          <w:shd w:val="clear" w:color="auto" w:fill="FFFFFF"/>
        </w:rPr>
      </w:pP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BD13EE"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八</w:t>
      </w: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5A913911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10472E80" w14:textId="6134DA9C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BD13EE" w:rsidRPr="00BD13EE">
        <w:rPr>
          <w:rFonts w:ascii="仿宋" w:eastAsia="仿宋" w:hAnsi="仿宋" w:hint="eastAsia"/>
          <w:sz w:val="24"/>
          <w:u w:val="single"/>
        </w:rPr>
        <w:t>工业机器人多功能实训工作站采购项目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14:paraId="15CF9881" w14:textId="0BA94401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BD13EE" w:rsidRPr="00BD13EE">
        <w:rPr>
          <w:rFonts w:ascii="仿宋" w:eastAsia="仿宋" w:hAnsi="仿宋" w:hint="eastAsia"/>
          <w:sz w:val="24"/>
          <w:u w:val="single"/>
        </w:rPr>
        <w:t>工业机器人多功能实训工作站采购项目</w:t>
      </w:r>
    </w:p>
    <w:p w14:paraId="581A4296" w14:textId="3AB3AA9F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BD13EE"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月</w:t>
      </w:r>
      <w:r w:rsidR="00D01B3C">
        <w:rPr>
          <w:rFonts w:ascii="仿宋" w:eastAsia="仿宋" w:hAnsi="仿宋"/>
          <w:sz w:val="24"/>
        </w:rPr>
        <w:t>18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17794D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02795767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41AB4E8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0F9ADB63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42DF2ACA" w14:textId="7008865A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17794D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06795D11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8F41084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462A92C3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6A4D119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29A8A406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45A94FAC" w14:textId="77777777"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0B625CFE" w14:textId="77777777"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57963824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38F49BF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1B0F1E61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2E0D411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4D85C3C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14:paraId="1FB46F47" w14:textId="78C48BD6" w:rsidR="008D2F21" w:rsidRDefault="00A41939" w:rsidP="00A4193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技术部分：</w:t>
      </w:r>
      <w:r w:rsidR="00BD13EE">
        <w:rPr>
          <w:rFonts w:ascii="仿宋" w:eastAsia="仿宋" w:hAnsi="仿宋" w:hint="eastAsia"/>
          <w:sz w:val="24"/>
        </w:rPr>
        <w:t>陈</w:t>
      </w:r>
      <w:r>
        <w:rPr>
          <w:rFonts w:ascii="仿宋" w:eastAsia="仿宋" w:hAnsi="仿宋" w:hint="eastAsia"/>
          <w:sz w:val="24"/>
        </w:rPr>
        <w:t xml:space="preserve">老师  </w:t>
      </w:r>
      <w:r w:rsidR="00BD13EE" w:rsidRPr="00BD13EE">
        <w:rPr>
          <w:rFonts w:ascii="仿宋" w:eastAsia="仿宋" w:hAnsi="仿宋"/>
          <w:sz w:val="24"/>
        </w:rPr>
        <w:t>17622603195</w:t>
      </w:r>
      <w:r w:rsidR="00BD13EE" w:rsidRPr="00BD13EE">
        <w:rPr>
          <w:rFonts w:ascii="Calibri" w:eastAsia="仿宋" w:hAnsi="Calibri" w:cs="Calibri"/>
          <w:sz w:val="24"/>
        </w:rPr>
        <w:t> </w:t>
      </w:r>
    </w:p>
    <w:p w14:paraId="681DC34B" w14:textId="77777777"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8D9FF8B" w14:textId="77777777"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E2D5588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14:paraId="6C371AAB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19071147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3F2E8DB6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77FF4C71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18247647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49DA3292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52D2EE6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01106CFD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6E31E6A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0B6A45C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070294DF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0915D26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2534A2E4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6F59BB8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607BF47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0E5DA17E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39091DB7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2DC5BF23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16426A6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0CF885E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3534AC68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40C6D6F1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2730A821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10AEC5E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1BEA95BF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117F72AB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615EB906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09ED1025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669123AC" w14:textId="77777777" w:rsidR="00FE3A9D" w:rsidRDefault="00FE3A9D"/>
    <w:p w14:paraId="69125B38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042561A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BEDE65C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0AB12C4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DFBCC0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FCEE32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EEC9159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4910927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B1906E4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A2A3DFB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198A84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87C09A1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98A1F8F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2E9820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32DE83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3314246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3C819D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E93757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0D4CF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B4E5C32" w14:textId="77777777"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33DA7B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14:paraId="38518550" w14:textId="7DF7C9C5" w:rsidR="00EB425A" w:rsidRPr="00EB425A" w:rsidRDefault="00EB425A" w:rsidP="00EB425A">
      <w:pPr>
        <w:spacing w:line="460" w:lineRule="exact"/>
        <w:rPr>
          <w:rFonts w:ascii="仿宋" w:eastAsia="仿宋" w:hAnsi="仿宋"/>
          <w:b/>
          <w:sz w:val="24"/>
          <w:szCs w:val="24"/>
        </w:rPr>
      </w:pPr>
      <w:r w:rsidRPr="00EB425A">
        <w:rPr>
          <w:rFonts w:ascii="仿宋" w:eastAsia="仿宋" w:hAnsi="仿宋" w:hint="eastAsia"/>
          <w:b/>
          <w:sz w:val="24"/>
          <w:szCs w:val="24"/>
        </w:rPr>
        <w:t>设备清单</w:t>
      </w:r>
      <w:r w:rsidR="002240F1">
        <w:rPr>
          <w:rFonts w:ascii="仿宋" w:eastAsia="仿宋" w:hAnsi="仿宋" w:hint="eastAsia"/>
          <w:b/>
          <w:sz w:val="24"/>
          <w:szCs w:val="24"/>
        </w:rPr>
        <w:t>及参数</w:t>
      </w:r>
      <w:r w:rsidRPr="00EB425A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573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987"/>
        <w:gridCol w:w="6663"/>
        <w:gridCol w:w="567"/>
        <w:gridCol w:w="565"/>
      </w:tblGrid>
      <w:tr w:rsidR="00BD13EE" w:rsidRPr="00BD13EE" w14:paraId="2E6C5684" w14:textId="77777777" w:rsidTr="00BD13EE">
        <w:trPr>
          <w:trHeight w:val="698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7CD743C2" w14:textId="2DDD9DAC" w:rsidR="00BD13EE" w:rsidRPr="00BD13EE" w:rsidRDefault="00BD13EE" w:rsidP="00BD1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D13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设备</w:t>
            </w: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名称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694F6FD2" w14:textId="77777777" w:rsidR="00BD13EE" w:rsidRPr="00BD13EE" w:rsidRDefault="00BD13EE" w:rsidP="00BD1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D13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2781BF5B" w14:textId="73A14975" w:rsidR="00BD13EE" w:rsidRPr="00BD13EE" w:rsidRDefault="00BD13EE" w:rsidP="00BD1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D13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3796C766" w14:textId="77777777" w:rsidR="00BD13EE" w:rsidRPr="00BD13EE" w:rsidRDefault="00BD13EE" w:rsidP="00BD13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D13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数量</w:t>
            </w:r>
          </w:p>
        </w:tc>
      </w:tr>
      <w:tr w:rsidR="00BD13EE" w:rsidRPr="00BD13EE" w14:paraId="12765334" w14:textId="77777777" w:rsidTr="00BD13EE">
        <w:trPr>
          <w:trHeight w:val="2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437" w14:textId="77777777" w:rsidR="00BD13EE" w:rsidRPr="00BD13EE" w:rsidRDefault="00BD13EE" w:rsidP="00BD13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多功能工业机器人应用实训台</w:t>
            </w:r>
          </w:p>
        </w:tc>
        <w:tc>
          <w:tcPr>
            <w:tcW w:w="3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8C9" w14:textId="6620D8D5" w:rsidR="00BD13EE" w:rsidRPr="00BD13EE" w:rsidRDefault="00BD13EE" w:rsidP="00BD13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一、工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机器人: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由工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机器人本体、机器人底座、机器人控制柜和示教器等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成。     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1、机器人本体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1)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国产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机器人，具有自主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产权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2)具有6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自由度，串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联关节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3)重复定位精度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±0.02mm；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4)承重能力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7kg；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5)水平到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距离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746mm；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6)重量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55.5kg；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额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定速度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3.87rad/s，222°/s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3.14ad/s，180°/s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J3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3.925rad/s，225°/s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J4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4.1rad/s，235°/s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J5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3.87rad/s，222°/s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J6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6.28rad/s，360°/s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范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±200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-180°/0°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J3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+80°/+240°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J4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±180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J5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±115°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J6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±360°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4、控制器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机器人控制器自主知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识产权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PLC程序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功能。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式全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字伺服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驱动单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元和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绝对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值式伺服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机，支持EtherCAT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或NCUC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总线协议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，支持Socket、TCP/IP、ModbusTCP等通信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协议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源：DC24V；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NCUC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接口：2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外部；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USB1接口：1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；USB2接口：1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VGA接口：1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部使用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口）；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LAN接口：2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5、伺服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驱动单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具有高速工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以太网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接口，支持EtherCAT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现场总线协议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置高速的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据交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；具有高分辨率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绝对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器接口，可以适配复合增量式、正余弦、全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绝对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式等多种信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器，位置反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馈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分辨率最高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到23位。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6、示教器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1)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形化彩色触摸屏；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2)支持USB存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3)防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IP54；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7、机器人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柜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型式，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柜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8、周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围运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1)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度：0°-45°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2)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度：20-80%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二、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台：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采用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铝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型材搭建，前后采用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对开关门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两侧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和底部采用优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质钣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金封板，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台桌面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机器人、示教器、功能模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准的安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接口，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内侧预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留有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准气源、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气接口等安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位置，可根据用于的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需求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的快速切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机器人和各功能模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定的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源和气源。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平台尺寸： 1600×1100×880 mm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可任意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合放置，可固定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三、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由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垛固定底板、不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锈钢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拉手等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成。使用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垛套件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垛与解垛。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垛位置：2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栈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板尺寸：65×65mm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3.零件容量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矩形工件10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，方形工件10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，可混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量：1套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四、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配模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物料托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尺寸（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宽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）：300×250mm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容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量：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×6;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转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子×6;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板×6.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五、打磨模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打磨托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尺寸（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宽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）：300×250mm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打磨底支架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六、快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工具模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由固定底板、快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支架、快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、工具和不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锈钢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拉手等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1.快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支架：1套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套支架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具容量： 4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工具，适配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台定位安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2.快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:1套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：本体材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质铝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合金，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紧锁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机构合金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承重：5kg；允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许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力矩：20N·m；工作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力：0.3-1Mpa；重量：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0.5kg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工具：1套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盘盘径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：20mm，吸附力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10N，配真空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生器和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机手爪工具：1套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气缸缸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：12mm，行程：24mm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5.打磨工具：1套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形式：气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；打磨形式：平面磨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6.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形工具：1套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工具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绘图笔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属笔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。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七、涂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胶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br/>
              <w:t>1、涂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胶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平面尺寸：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300×250mm;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br/>
              <w:t>2、台面可放置磁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铁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，用以固定A4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纸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br/>
              <w:t>八、TCP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 w:themeColor="text1"/>
                <w:kern w:val="0"/>
                <w:sz w:val="20"/>
                <w:szCs w:val="20"/>
              </w:rPr>
              <w:t>定模</w:t>
            </w:r>
            <w:r w:rsidRPr="00BD13EE">
              <w:rPr>
                <w:rFonts w:ascii="文泉驿微米黑" w:eastAsia="文泉驿微米黑" w:hAnsi="等线" w:cs="宋体" w:hint="eastAsia"/>
                <w:color w:val="000000" w:themeColor="text1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九、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即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为实训项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目的工作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象，含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套件、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垛套件（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垛矩形套件、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垛方形套件）。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套件由不少于3种零件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需包含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机套件共同使用，构成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6种零件的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套件。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1.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套件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机模型分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转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子、端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部件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量：6套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颜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色种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：3种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零件种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：3种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2.可完全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或自定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义组装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。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十、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油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音气泵：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采用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纯铜电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新平台提供气源供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功率：600W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排气量：45L/min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容量：24L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工作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：220V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最高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力:0.8Mpa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外形尺寸：420*410*630mm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十一、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机附件：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机附件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位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量 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1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六角扳手9件套  套   1   每台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设备对应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2      套筒12件套     套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3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双头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丝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批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      一字螺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丝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刀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 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位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量    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    机械操作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册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份    1     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每台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设备对应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2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驱动电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气操作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册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份 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       示教器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份 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4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操作使用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份 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5     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气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图纸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  份    1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机附件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厂家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格   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量      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     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SMC/C-ZPR20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UN-04-A8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每台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设备对应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2   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SMC/SY3320-5G-M5      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     气缸       SMC/MHF2-12D1       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     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丝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          /               1批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89CF" w14:textId="77777777" w:rsidR="00BD13EE" w:rsidRPr="00BD13EE" w:rsidRDefault="00BD13EE" w:rsidP="00BD1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AE87" w14:textId="77777777" w:rsidR="00BD13EE" w:rsidRPr="00BD13EE" w:rsidRDefault="00BD13EE" w:rsidP="00BD1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D13EE" w:rsidRPr="00BD13EE" w14:paraId="7FD042D8" w14:textId="77777777" w:rsidTr="00BD13EE">
        <w:trPr>
          <w:trHeight w:val="2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36B" w14:textId="77777777" w:rsidR="00BD13EE" w:rsidRPr="00BD13EE" w:rsidRDefault="00BD13EE" w:rsidP="00BD13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工业协作机器人及数字孪生技术创新应用平台</w:t>
            </w:r>
          </w:p>
        </w:tc>
        <w:tc>
          <w:tcPr>
            <w:tcW w:w="3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C2F" w14:textId="77777777" w:rsidR="00BD13EE" w:rsidRPr="00BD13EE" w:rsidRDefault="00BD13EE" w:rsidP="00BD13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（一）工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作机器人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一、机器人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详细参数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1、自由度：6(串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机构)；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负载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5kg；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3、最大工作半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785mm；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4、重复定位精度：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±0.02mm；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范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J1: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±360°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J2: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-190°/+40°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J3: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-60°/+240°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J4: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±360°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J5: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±360°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J6: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±360°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6、最大速度：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J1: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4.18rad/s,240°/s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J2: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3.66rad/s,210°/s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J3: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4.71rad/s,270°/s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J4: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6.54rad/s,375°/s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J5: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5.23rad/s,300°/s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J6: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10.46raf/s,600°/s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度: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20% ～ 80%，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度: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0°～ 50°；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8、防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: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IP67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9、安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方式: 地面、倒挂安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10、本体重量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26kg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二、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控一体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详细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要求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1、采用控制、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驱动单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控制芯片集成方案，具有高集成度和高可靠性的特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源：220VAC±10%；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绝对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器，分辨率支持最高23位；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4、外部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展：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5、LAN接口：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；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6、RS232：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展：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绝对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式和增量式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器接入；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8、外部急停接口：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，柜体急停接口：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9、IO接口：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32位，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32位，支持NPN或PNP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入，NPN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10、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控一体系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统软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件采用高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级语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程，可快速完成各种复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，支持二次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，可与第三方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、MES系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等快速集成；提供C++二次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接口，至少包含以下7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接口函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：a,网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络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初始化函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，b,网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络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退出函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，c,查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询当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前网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络连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状态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，d,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置IR寄存器函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，e,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取IR寄存器函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，f,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置LR寄存器函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，g,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取LR寄存器函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。（要求提供7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明文件以及控制器操作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件厂家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针对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目提供的二次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函并加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原厂商公章。）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11、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控一体操作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件功能要求：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1）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控一体操作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件需使用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国产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化自主知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识产权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品，供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前投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提供控制器操作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件著作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权证书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复印件以及上述功能的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件操作界面截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材料；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2）需包含“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轴参数设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置”、“机械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置”、“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轴状态监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控”、“I/O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状态监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控”等功能；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3）可查看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信息、系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版本；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4）可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、伺服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5）可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对设备进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、伺服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整；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6）可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、伺服相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据的采集，采集周期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125us；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7）可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关参数进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8）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保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针对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需求的二次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，需提供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件原厂商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针对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目的二次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函（需加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原厂商公章）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三、示教器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详细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要求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1、示教器硬件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尺寸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8 寸触摸屏；全触屏操作，配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急停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以及三段式安全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USB 接口。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2、示教器性能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(1)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存：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1G；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(2)存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2G；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(3)CPU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率：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1.0GHz；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3、示教器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件功能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人机界面，可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行操作、模式切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急停止、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置以及示教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程。供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前投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提供示教器操作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件著作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权证书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复印件以及上述功能的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件操作界面截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材料。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保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针对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需求的二次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，需提供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件原厂商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针对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目的二次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函（需加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原厂商公章）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品可靠性:示教器部件通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动试验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及高低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温试验检测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。（需提供具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“CNAS”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检验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机构出具的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检验报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告,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检验报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告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包含本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项内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容，且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检测结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果符合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要求）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（二）工作台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工作台尺寸：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1380×1040×900mm；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2、整机重量：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435KG；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3、功率：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4KW；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（三）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垛位置：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垛台面尺寸：300×250mm；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3、零件容量：矩形工件10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，方形工件10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，可混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（四）涂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1、涂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平面尺寸：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300×250mm;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2、台面可放置磁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，用以固定A4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纸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（五）存放模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1、存放工位：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2、存放台面尺寸：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280×250mm；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工位需配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感器，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是否有料；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（六）分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易拉罐液体分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功能；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台面尺寸：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500×300mm；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不少于一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个夹紧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机构；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（七）机器人手爪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具，吸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直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Ф20mm；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轨迹笔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带缓冲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缓冲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10mm，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直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Ф10mm；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3、气缸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爪，抓取行程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具端和固定端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定尖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（八）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视觉检测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（1）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概述：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由工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业视觉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、固定底板等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成。模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适配外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控制器套件和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气接口套件，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零件的形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(X/Y/A)等信息，通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以太网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将检测结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往机器人，配合工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机器人末端工具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易拉罐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行抓取搬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瓶等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（2）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术参数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1）1/1.8"CMOS 成像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：彩色,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600 万像素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2）S 接口/M12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镜头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8mm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3）成像模式：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640×480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4）光源：白色漫射 LED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形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5）通信和 I/O：Profinet、ModbusTCP、TCP/IP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6）感器型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:IMX178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7）像元尺寸: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2.4μm×2.4μm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8）靶面尺寸:1/1.8"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9）分辨率: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3072×2048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10）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率: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17fps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11）曝光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时间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范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27μs-2.5sec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12）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据接口:GigE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13）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 I/O:1 路光耦隔离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入，1 路光耦隔离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出,1路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双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向可配置非隔离 I/O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14）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存容量: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128MB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帧缓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存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（3）支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台面尺寸：320×320mm；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（4）配有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支架，高度可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（九）离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1、支持不少于5种主流工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机器人品牌，包括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华数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机器人、ABB、KUKA、FANUC、安川、川崎等，仿真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的机器人代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2、至少支持4、6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机器人的新建、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除等功能，也可以直接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文件，新建机器人可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行正常的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程和仿真；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3、支持工具的新建、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除等功能，也可以直接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入工具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文件，一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工具可切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不同TCP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4、至少支持1、2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位机的新建、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除等功能，也可以直接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文件，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位机可以和机器人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联动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5、支持三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仿真与碰撞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查功能。通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仿真可以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察机器人的位置姿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，充分地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果是否合理，仿真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程中如果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生碰撞，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会显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告提示；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6、支持机器人逆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运动学选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解功能，切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不同解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并生成路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查看仿真，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选择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最优解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加工路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7、提供手拿工具、手拿工件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程模式；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8、支持自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、外部等多种路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划方式。1）可以根据三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程，包含不少于三种路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方法；2）可以直接在曲面或曲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上任意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点选编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自适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生主刀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。3）可以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入外部刀位文件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自适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生主刀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9、支持多种工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径变换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列方法。能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化交互界面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简单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置，快速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性与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形等多种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列；  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10、支持半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物仿真。真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示教器能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，并保持示教器中的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据和离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位完全一致。离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示教器能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够实时显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机器人的位置；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11、支持真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控制器插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仿真功能。能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采集真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控制器的扭矩、速度、加速度等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制波形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的原理性分析，通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鼠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标点击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波形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机器人的能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的位置；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12、能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根据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景的需求生成包含加工工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，比如生成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参数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锯齿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、三角函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曲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以及螺旋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等，用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可根据需求修改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关参数实现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的快速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整；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13、支持离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程、离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程、离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程等多种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件包，能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融合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域工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快速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程与仿真。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（十）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音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油气泵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一、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音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油气泵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1、采用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纯铜电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机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功率：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600W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3、排气量：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45L/min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4、容量：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30L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5、工作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：220V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6、最高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力:0.8Mpa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7、外形尺寸：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400*400*600mm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（十一）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设计终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一、技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要求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1、CPU：Inter I7-7700 以上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示器尺寸：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 英寸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示器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存：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8GB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1TB 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5、鼠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键盘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（十二）PLC与人机交互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1、主控PLC技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（1）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 KB 工作存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器；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 xml:space="preserve">（2）24VDC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源，板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载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DI14 × 24VDC 漏型/源型，DQ10 × 24VDC 及 AI2 和 AQ2；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（3）板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载≥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6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计数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器和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个脉冲输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（4）信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展板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载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I/O；多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3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通信模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用于串行通信；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（5）多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8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用于 I/O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展；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（6）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0.04 ms/1000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指令；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 PROFINET 端口用于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程，HMI 和 PLC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的通信。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 RS232/RS422/RS485 接口的通信模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带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有64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入和16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展I/O模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4、采用7英寸触摸屏，技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800 × 480 像素，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16M 色；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 × MPI/PROFIBUS DP，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 × 支持 MRP 和 RT/IRT 的 PROFINET/工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以太网接口（2 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端口）；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 × 多媒体卡插槽；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 × USB；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（十三）工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虚拟调试软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1、工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虚拟调试软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支持机器人工作站布局搭建、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电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气与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感信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配置与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、PLC与机器人程序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、工作站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与仿真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2、支持包括但不限于TCP/IP、 ModbusTCP等通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讯协议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3、支持在仿真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行机器人示教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程并直接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程序用于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体机器人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4、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景保存和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景工程文件打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功能，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件支持以工作站、功能模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，机构、元器件等多种性形式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5、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景保存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.simt格式，并能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打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保留的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景文件。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6、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管理：模型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实还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原机器人、料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具等机器人工作站和自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的核心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体模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块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，可供用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在模型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选择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7、支持在仿真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行工作站快速布局、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景搭建功能：模型在三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方向平移和旋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转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，可以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件有透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和正交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两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模式，支持用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意切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换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，且可以在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景中快速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方位的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视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角定位。模型与模型之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可以按元素和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象快速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象按照模型自身三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坐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标轴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方向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，支持模型按元素按照平行、共面、垂直、共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、相切、重合、同心等方式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8、支持模型之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按功能定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快速定位，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关联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9、支持在仿真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境中的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虚拟装备进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作流程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中的程序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10、支持各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类设备装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置、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行机构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象定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，如物料、气缸、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感器、机器人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具、指示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11、支持机器人程序容器定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，以机器人程序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驱动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机器人模型，同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可以支持多型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关节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机器人的仿真操作。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12、支持模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PLC信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板卡和机器人信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板卡，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PLC控制器与机器人控制器IO信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位映射配置，支持PLC和机器人板卡的拓展。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13、支持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号逻辑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配置，以拖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连线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等方式快速建立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设备间运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逻辑关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系。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14、支持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建立好流程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逻辑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作的仿真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验证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程即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时启动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停，支持在各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容器中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控制、IO信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控制和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据信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馈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等多种操作方式。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15、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件支持物理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律的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虚拟环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境的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建，如支持重力、碰撞等。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16、支持在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件中自定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硬件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源，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自定的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作和流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行仿真，能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机器人工作站的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验证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、PLC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编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程仿真的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17、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件支持多版本博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够实时读写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仿真PLC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据，通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实现设备联调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18、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件支持多种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逻辑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指令，可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脱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离外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围设备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使用。能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够独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行仿真、一些复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流程，如工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机器人搬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等。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19、支持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布局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量，能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根据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物平台布局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图纸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件中搭建，以此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验证装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图纸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，了解各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的配合方法。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20、支持工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机器人碰撞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检测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馈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时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的碰撞，通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馈来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提醒操作者修改工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运动轨迹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，使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程更加安全高效。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21、支持多种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组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合搭配方式，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拥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有丰富的模型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库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自由搭建不同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不同技能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学习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22、支持多种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据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读写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，如：Bool、Int、Real、Dint、word、Dword等。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23、支持模型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节点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修改，能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快速定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模型主副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级关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系，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副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随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移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24、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件提供与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实际设备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一致的工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机器人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实训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平台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景，在仿真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景中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调试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完成的机器人程序可以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出到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实际设备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上使用，并能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够实现虚拟场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景与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实际设备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实联动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25、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件支持用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户导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性化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设计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模型，支持多种三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模型格式的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入，如：SLDPRT、SLDASM、PRT、STEP、STP等。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26、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对导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维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模型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进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动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作定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义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，使其具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备夹紧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和松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开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的功能。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27、支持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导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入的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具模型，能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到机器人末端法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过虚拟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示教能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够夹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取物料。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  <w:t>28、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件支持至少3种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类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饮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料罐的分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装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工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艺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流程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验证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，能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够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跟硬件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设备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讯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实现数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字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孪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</w:t>
            </w:r>
            <w:r w:rsidRPr="00BD13EE">
              <w:rPr>
                <w:rFonts w:ascii="文泉驿微米黑" w:eastAsia="文泉驿微米黑" w:hAnsi="等线" w:cs="宋体" w:hint="eastAsia"/>
                <w:color w:val="000000"/>
                <w:kern w:val="0"/>
                <w:sz w:val="20"/>
                <w:szCs w:val="20"/>
              </w:rPr>
              <w:t>虚实联调</w:t>
            </w: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0885" w14:textId="77777777" w:rsidR="00BD13EE" w:rsidRPr="00BD13EE" w:rsidRDefault="00BD13EE" w:rsidP="00BD1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C12A" w14:textId="77777777" w:rsidR="00BD13EE" w:rsidRPr="00BD13EE" w:rsidRDefault="00BD13EE" w:rsidP="00BD13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BD13E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14:paraId="533860EB" w14:textId="77777777" w:rsidR="00222E82" w:rsidRPr="00E27E21" w:rsidRDefault="00222E82">
      <w:pPr>
        <w:spacing w:line="420" w:lineRule="exact"/>
        <w:rPr>
          <w:rFonts w:ascii="仿宋" w:eastAsia="仿宋" w:hAnsi="仿宋" w:cs="宋体"/>
          <w:sz w:val="24"/>
          <w:szCs w:val="24"/>
        </w:rPr>
      </w:pPr>
    </w:p>
    <w:sectPr w:rsidR="00222E82" w:rsidRPr="00E27E21" w:rsidSect="00A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6CB6" w14:textId="77777777" w:rsidR="00F92F8C" w:rsidRDefault="00F92F8C" w:rsidP="00060D84">
      <w:r>
        <w:separator/>
      </w:r>
    </w:p>
  </w:endnote>
  <w:endnote w:type="continuationSeparator" w:id="0">
    <w:p w14:paraId="24ECEA8F" w14:textId="77777777" w:rsidR="00F92F8C" w:rsidRDefault="00F92F8C" w:rsidP="0006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文泉驿微米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7242" w14:textId="77777777" w:rsidR="00F92F8C" w:rsidRDefault="00F92F8C" w:rsidP="00060D84">
      <w:r>
        <w:separator/>
      </w:r>
    </w:p>
  </w:footnote>
  <w:footnote w:type="continuationSeparator" w:id="0">
    <w:p w14:paraId="0EA30D4F" w14:textId="77777777" w:rsidR="00F92F8C" w:rsidRDefault="00F92F8C" w:rsidP="0006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60D84"/>
    <w:rsid w:val="00070040"/>
    <w:rsid w:val="000702B9"/>
    <w:rsid w:val="000740EF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7794D"/>
    <w:rsid w:val="00184EFF"/>
    <w:rsid w:val="00185CB0"/>
    <w:rsid w:val="001B3F77"/>
    <w:rsid w:val="001C100B"/>
    <w:rsid w:val="001D35A9"/>
    <w:rsid w:val="001F4662"/>
    <w:rsid w:val="00222E82"/>
    <w:rsid w:val="002240F1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C05A4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0198"/>
    <w:rsid w:val="004A3173"/>
    <w:rsid w:val="004B46F9"/>
    <w:rsid w:val="004C0233"/>
    <w:rsid w:val="004D0266"/>
    <w:rsid w:val="004D7243"/>
    <w:rsid w:val="004E4388"/>
    <w:rsid w:val="004F2119"/>
    <w:rsid w:val="004F2604"/>
    <w:rsid w:val="005000CD"/>
    <w:rsid w:val="005058DA"/>
    <w:rsid w:val="00512D54"/>
    <w:rsid w:val="00515C49"/>
    <w:rsid w:val="00532DD8"/>
    <w:rsid w:val="00533AE2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0FB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4B54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1939"/>
    <w:rsid w:val="00A45071"/>
    <w:rsid w:val="00A76D06"/>
    <w:rsid w:val="00A76F9C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D13EE"/>
    <w:rsid w:val="00BF3F93"/>
    <w:rsid w:val="00BF70A6"/>
    <w:rsid w:val="00BF7405"/>
    <w:rsid w:val="00C20864"/>
    <w:rsid w:val="00C455CD"/>
    <w:rsid w:val="00C50D77"/>
    <w:rsid w:val="00C56C0E"/>
    <w:rsid w:val="00CC73C8"/>
    <w:rsid w:val="00CE645F"/>
    <w:rsid w:val="00D01B3C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27E21"/>
    <w:rsid w:val="00E43FF3"/>
    <w:rsid w:val="00E523B4"/>
    <w:rsid w:val="00E6424F"/>
    <w:rsid w:val="00E74E35"/>
    <w:rsid w:val="00E80B84"/>
    <w:rsid w:val="00E95602"/>
    <w:rsid w:val="00EA44AD"/>
    <w:rsid w:val="00EA4553"/>
    <w:rsid w:val="00EB425A"/>
    <w:rsid w:val="00EC7811"/>
    <w:rsid w:val="00EF763D"/>
    <w:rsid w:val="00F324E7"/>
    <w:rsid w:val="00F424CE"/>
    <w:rsid w:val="00F77E5F"/>
    <w:rsid w:val="00F855E6"/>
    <w:rsid w:val="00F90573"/>
    <w:rsid w:val="00F92F8C"/>
    <w:rsid w:val="00FB5931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9BD6"/>
  <w15:docId w15:val="{43AEEAA5-0008-4BDF-84A5-5E606328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ind w:left="142"/>
    </w:pPr>
    <w:rPr>
      <w:kern w:val="0"/>
      <w:sz w:val="20"/>
      <w:szCs w:val="21"/>
    </w:rPr>
  </w:style>
  <w:style w:type="paragraph" w:styleId="a5">
    <w:name w:val="Body Text Indent"/>
    <w:basedOn w:val="a"/>
    <w:qFormat/>
    <w:pPr>
      <w:ind w:firstLineChars="179" w:firstLine="501"/>
    </w:pPr>
    <w:rPr>
      <w:sz w:val="28"/>
    </w:rPr>
  </w:style>
  <w:style w:type="paragraph" w:styleId="a6">
    <w:name w:val="Plain Text"/>
    <w:basedOn w:val="a"/>
    <w:link w:val="a7"/>
    <w:qFormat/>
    <w:rPr>
      <w:rFonts w:ascii="宋体" w:eastAsia="宋体" w:hAnsi="Courier New" w:cs="Times New Roman" w:hint="eastAsia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5"/>
    <w:next w:val="a"/>
    <w:qFormat/>
    <w:pPr>
      <w:spacing w:line="400" w:lineRule="exact"/>
      <w:ind w:firstLineChars="200" w:firstLine="480"/>
    </w:p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kern w:val="0"/>
      <w:sz w:val="20"/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3">
    <w:name w:val="List Paragraph"/>
    <w:basedOn w:val="a"/>
    <w:link w:val="af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af4">
    <w:name w:val="列出段落 字符"/>
    <w:link w:val="af3"/>
    <w:qFormat/>
    <w:rPr>
      <w:kern w:val="2"/>
      <w:sz w:val="21"/>
      <w:szCs w:val="22"/>
    </w:rPr>
  </w:style>
  <w:style w:type="character" w:customStyle="1" w:styleId="a7">
    <w:name w:val="纯文本 字符"/>
    <w:basedOn w:val="a0"/>
    <w:link w:val="a6"/>
    <w:rPr>
      <w:rFonts w:ascii="宋体" w:eastAsia="宋体" w:hAnsi="Courier New" w:cs="Times New Roman"/>
      <w:kern w:val="2"/>
      <w:sz w:val="21"/>
      <w:szCs w:val="22"/>
    </w:rPr>
  </w:style>
  <w:style w:type="character" w:customStyle="1" w:styleId="af">
    <w:name w:val="副标题 字符"/>
    <w:basedOn w:val="a0"/>
    <w:link w:val="ae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5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BD13EE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BD13EE"/>
    <w:rPr>
      <w:color w:val="800080"/>
      <w:u w:val="single"/>
    </w:rPr>
  </w:style>
  <w:style w:type="paragraph" w:customStyle="1" w:styleId="msonormal0">
    <w:name w:val="msonormal"/>
    <w:basedOn w:val="a"/>
    <w:rsid w:val="00BD13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D13EE"/>
    <w:pPr>
      <w:widowControl/>
      <w:spacing w:before="100" w:beforeAutospacing="1" w:after="100" w:afterAutospacing="1"/>
      <w:jc w:val="left"/>
    </w:pPr>
    <w:rPr>
      <w:rFonts w:ascii="文泉驿微米黑" w:eastAsia="文泉驿微米黑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D13E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BD13EE"/>
    <w:pPr>
      <w:widowControl/>
      <w:spacing w:before="100" w:beforeAutospacing="1" w:after="100" w:afterAutospacing="1"/>
      <w:jc w:val="left"/>
    </w:pPr>
    <w:rPr>
      <w:rFonts w:ascii="文泉驿微米黑" w:eastAsia="文泉驿微米黑" w:hAnsi="宋体" w:cs="宋体"/>
      <w:color w:val="FF0000"/>
      <w:kern w:val="0"/>
      <w:sz w:val="20"/>
      <w:szCs w:val="20"/>
    </w:rPr>
  </w:style>
  <w:style w:type="paragraph" w:customStyle="1" w:styleId="font8">
    <w:name w:val="font8"/>
    <w:basedOn w:val="a"/>
    <w:rsid w:val="00BD13E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BD13E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BD13EE"/>
    <w:pPr>
      <w:widowControl/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70">
    <w:name w:val="xl70"/>
    <w:basedOn w:val="a"/>
    <w:rsid w:val="00BD13EE"/>
    <w:pPr>
      <w:widowControl/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71">
    <w:name w:val="xl71"/>
    <w:basedOn w:val="a"/>
    <w:rsid w:val="00BD1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2">
    <w:name w:val="xl72"/>
    <w:basedOn w:val="a"/>
    <w:rsid w:val="00BD1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73">
    <w:name w:val="xl73"/>
    <w:basedOn w:val="a"/>
    <w:rsid w:val="00BD1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74">
    <w:name w:val="xl74"/>
    <w:basedOn w:val="a"/>
    <w:rsid w:val="00BD1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5">
    <w:name w:val="xl75"/>
    <w:basedOn w:val="a"/>
    <w:rsid w:val="00BD13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" w:eastAsia="等线" w:hAnsi="等线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7AC89-92A2-4018-B228-220D5CC1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200</cp:revision>
  <dcterms:created xsi:type="dcterms:W3CDTF">2024-04-09T12:19:00Z</dcterms:created>
  <dcterms:modified xsi:type="dcterms:W3CDTF">2025-08-14T03:30:00Z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